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03F" w:rsidRDefault="0029103F">
      <w:bookmarkStart w:id="0" w:name="_GoBack"/>
      <w:bookmarkEnd w:id="0"/>
    </w:p>
    <w:p w:rsidR="0029103F" w:rsidRPr="008E6938" w:rsidRDefault="0029103F" w:rsidP="0029103F">
      <w:pPr>
        <w:spacing w:before="160" w:after="8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KIVONAT a </w:t>
      </w:r>
      <w:r w:rsidRPr="008E693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120/2020. (IV. 16.) Korm. rendelet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ből</w:t>
      </w:r>
    </w:p>
    <w:p w:rsidR="0029103F" w:rsidRPr="008E6938" w:rsidRDefault="0029103F" w:rsidP="0029103F">
      <w:pPr>
        <w:spacing w:after="32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8E693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a</w:t>
      </w:r>
      <w:proofErr w:type="gramEnd"/>
      <w:r w:rsidRPr="008E693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honvédelmi szervezetek személyi állományára a veszélyhelyzet ideje alatt alkalmazandó egyes eltérő szabályokról</w:t>
      </w:r>
    </w:p>
    <w:p w:rsidR="0029103F" w:rsidRPr="008E6938" w:rsidRDefault="0029103F" w:rsidP="0029103F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Kormány</w:t>
      </w:r>
    </w:p>
    <w:p w:rsidR="0029103F" w:rsidRPr="008E6938" w:rsidRDefault="0029103F" w:rsidP="0029103F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az</w:t>
      </w:r>
      <w:proofErr w:type="gramEnd"/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Alaptörvény 53. cikk (2) bekezdésében meghatározott eredeti jogalkotói hatáskörében, figyelemmel a koronavírus elleni védekezésről szóló 2020. évi XII. törvény rendelkezéseire,</w:t>
      </w:r>
    </w:p>
    <w:p w:rsidR="0029103F" w:rsidRPr="008E6938" w:rsidRDefault="0029103F" w:rsidP="0029103F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</w:t>
      </w:r>
      <w:proofErr w:type="gramEnd"/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8. § tekintetében az Alaptörvény 53. cikk (3) bekezdésében meghatározott eredeti jogalkotói hatáskörében, a koronavírus elleni védekezésről szóló 2020. évi XII. törvény 3. § (1) bekezdése szerinti országgyűlési felhatalmazás alapján,</w:t>
      </w:r>
    </w:p>
    <w:p w:rsidR="0029103F" w:rsidRPr="008E6938" w:rsidRDefault="0029103F" w:rsidP="0029103F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az</w:t>
      </w:r>
      <w:proofErr w:type="gramEnd"/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Alaptörvény 15. cikk (1) bekezdésében meghatározott feladatkörében eljárva</w:t>
      </w:r>
    </w:p>
    <w:p w:rsidR="0029103F" w:rsidRPr="008E6938" w:rsidRDefault="0029103F" w:rsidP="0029103F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</w:t>
      </w:r>
      <w:proofErr w:type="gramEnd"/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következőket rendeli el:</w:t>
      </w:r>
    </w:p>
    <w:p w:rsidR="0029103F" w:rsidRDefault="0029103F"/>
    <w:p w:rsidR="0029103F" w:rsidRPr="008E6938" w:rsidRDefault="0029103F" w:rsidP="0029103F">
      <w:pPr>
        <w:spacing w:before="16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8E693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2. A honvédelmi alkalmazottak jogállásáról szóló 2018. évi CXIV. törvény hatálya alá tartozókra vonatkozó rendkívüli intézkedések</w:t>
      </w:r>
    </w:p>
    <w:p w:rsidR="0029103F" w:rsidRPr="008E6938" w:rsidRDefault="0029103F" w:rsidP="0029103F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8E693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5. §</w:t>
      </w:r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 (1) A veszélyhelyzet ideje alatt a honvédelmi alkalmazottak jogállásáról szóló 2018. CXIV. törvény (a továbbiakban: </w:t>
      </w:r>
      <w:proofErr w:type="spellStart"/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Haj.tv</w:t>
      </w:r>
      <w:proofErr w:type="spellEnd"/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.) hatálya alá tartozó honvédelmi alkalmazott esetében a munka törvénykönyvéről szóló 2012. évi I. törvény (a továbbiakban: Mt.) 92. § (1) és (2) bekezdésétől, valamint az Mt. 99. § (2) és (3) bekezdésétől a munkáltató egyoldalúan eltérhet, az általános teljes napi munkaidő tizenkét óra, a heti munkaidő hatvan óra is lehet.</w:t>
      </w:r>
    </w:p>
    <w:p w:rsidR="0029103F" w:rsidRPr="008E6938" w:rsidRDefault="0029103F" w:rsidP="0029103F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 veszélyhelyzet ideje alatt az Mt. 99. § (5) és (6) bekezdésétől eltérően a honvédelmi alkalmazott beosztás szerinti munkaidejébe nem kell beszámítani a veszélyhelyzettel összefüggő rendkívüli munkavégzés időtartamát.</w:t>
      </w:r>
    </w:p>
    <w:p w:rsidR="0029103F" w:rsidRPr="008E6938" w:rsidRDefault="0029103F" w:rsidP="0029103F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(3) A honvédelmi alkalmazotti jogviszony esetében a veszélyhelyzetet annak ideje alatt az Mt. 108. § (2) bekezdése, valamint az Mt. 110. § (2) bekezdés </w:t>
      </w:r>
      <w:r w:rsidRPr="008E6938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b)</w:t>
      </w:r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pontja szerinti, az egészséget vagy a környezetet fenyegető közvetlen és súlyos veszélynek kell tekinteni.</w:t>
      </w:r>
    </w:p>
    <w:p w:rsidR="0029103F" w:rsidRPr="008E6938" w:rsidRDefault="0029103F" w:rsidP="0029103F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(4) A veszélyhelyzet ideje alatt a honvédelmi alkalmazotti jogviszony esetében az Mt. 104. § (1) bekezdésétől eltérően napi pihenőidőként legalább 8 órát kell biztosítani. A veszélyhelyzet ideje alatt a napi pihenőidőbe a lakásról a munkavégzési helyre és az onnan való visszautazás időtartam is beszámítható, de a pihenőidő időtartama ebben az esetben sem lehet – a lakásról a szolgálatteljesítési helyre és az onnan való visszautazás időtartamát levonva – kevesebb hat óra időtartamnál.</w:t>
      </w:r>
    </w:p>
    <w:p w:rsidR="0029103F" w:rsidRPr="008E6938" w:rsidRDefault="0029103F" w:rsidP="0029103F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(5) A honvédelmi alkalmazotti jogviszony esetében a veszélyhelyzet ideje alatt a heti pihenőnapok havonta összevontan is kiadhatók, valamint az Mt. 106. § (2) bekezdését és az Mt. 109. § (1) bekezdését nem kell alkalmazni.</w:t>
      </w:r>
    </w:p>
    <w:p w:rsidR="0029103F" w:rsidRPr="008E6938" w:rsidRDefault="0029103F" w:rsidP="0029103F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(6) A honvédelmi alkalmazottak részére tartott éves kötelező honvédelmi továbbképzés a veszélyhelyzet ideje alatt felfüggesztésre kerül.</w:t>
      </w:r>
    </w:p>
    <w:p w:rsidR="0029103F" w:rsidRPr="008E6938" w:rsidRDefault="0029103F" w:rsidP="0029103F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(7) A veszélyhelyzet ideje alatt az Mt. 97. § (4) és (5) bekezdésétől és az Mt. 110. § (6) bekezdésétől eltérően a munkaidő-beosztás és a rendelkezésre állás tartama öt napon belül és egy hétnél rövidebb időtartamra is közölhető.</w:t>
      </w:r>
    </w:p>
    <w:p w:rsidR="0029103F" w:rsidRPr="008E6938" w:rsidRDefault="0029103F" w:rsidP="0029103F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(8) A veszélyhelyzet ideje alatt a honvédelmi alkalmazott részére az Mt. 110. §</w:t>
      </w:r>
      <w:proofErr w:type="spellStart"/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-a</w:t>
      </w:r>
      <w:proofErr w:type="spellEnd"/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szerint elrendelt rendelkezésre állás idejére illetménypótlék nem jár, ide nem értve az egészségügyi tevékenység végzésének egyes kérdéseiről szóló 2003. évi LXXXIV. törvény 4. § </w:t>
      </w:r>
      <w:r w:rsidRPr="008E6938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a)</w:t>
      </w:r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és </w:t>
      </w:r>
      <w:r w:rsidRPr="008E6938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c)</w:t>
      </w:r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pontjának hatálya alá tartozó honvédelmi alkalmazottat.</w:t>
      </w:r>
    </w:p>
    <w:p w:rsidR="0029103F" w:rsidRPr="008E6938" w:rsidRDefault="0029103F" w:rsidP="0029103F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(9) A veszélyhelyzet ideje alatt, ha a honvédelmi alkalmazott az Mt. 55. § (1) bekezdés </w:t>
      </w:r>
      <w:r w:rsidRPr="008E6938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j)</w:t>
      </w:r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 pontja szerint mentesül a rendelkezésre állási és munkavégzési kötelezettség alól, </w:t>
      </w:r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t>akkor az állomány tagja erre az időtartamra az időarányos havi távolléti díjának 50%-ára jogosult. A honvédelmi alkalmazott és a munkáltató az Mt. 146. § (2) bekezdésétől eltérően ezzel összefüggésben eltérő megállapodást nem köthet.</w:t>
      </w:r>
    </w:p>
    <w:p w:rsidR="0029103F" w:rsidRPr="008E6938" w:rsidRDefault="0029103F" w:rsidP="0029103F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(10) A veszélyhelyzet ideje alatt a munkáltató a honvédelmi alkalmazottat az Mt. 53. § (2) bekezdésében meghatározott mértéknél hosszabb időtartamban is a kinevezéstől eltérően foglalkoztathatja.</w:t>
      </w:r>
    </w:p>
    <w:p w:rsidR="0029103F" w:rsidRPr="008E6938" w:rsidRDefault="0029103F" w:rsidP="0029103F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(11) A veszélyhelyzet ideje alatt az Mt. 122. § (4) bekezdésétől eltérően a munkáltató az általa meghatározott szabadság kezdő napját a szabadság kezdete előtt 15 napon belül is közölheti a honvédelmi alkalmazottal.</w:t>
      </w:r>
    </w:p>
    <w:p w:rsidR="0029103F" w:rsidRPr="008E6938" w:rsidRDefault="0029103F" w:rsidP="0029103F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(12) A veszélyhelyzet ideje alatt a honvédelmi alkalmazott </w:t>
      </w:r>
      <w:proofErr w:type="spellStart"/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Haj.tv</w:t>
      </w:r>
      <w:proofErr w:type="spellEnd"/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 21. § (2) bekezdés </w:t>
      </w:r>
      <w:r w:rsidRPr="008E6938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c)</w:t>
      </w:r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 pontja szerinti jogviszony-megszüntetéssel nem élhet. A </w:t>
      </w:r>
      <w:proofErr w:type="spellStart"/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Haj.tv</w:t>
      </w:r>
      <w:proofErr w:type="spellEnd"/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 21. § (1) bekezdés </w:t>
      </w:r>
      <w:r w:rsidRPr="008E6938">
        <w:rPr>
          <w:rFonts w:ascii="Times" w:eastAsia="Times New Roman" w:hAnsi="Times" w:cs="Times"/>
          <w:i/>
          <w:iCs/>
          <w:color w:val="000000"/>
          <w:sz w:val="24"/>
          <w:szCs w:val="24"/>
          <w:lang w:eastAsia="hu-HU"/>
        </w:rPr>
        <w:t>a)</w:t>
      </w:r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pontjától eltérően nem szűnik meg a honvédelmi alkalmazotti jogviszony a kinevezésben foglalt határozott idő lejártával, kivéve, ha a munkáltatói jogkör gyakorlója írásban – legkésőbb a jogviszony megszűnésének napján – így rendelkezik, és azt közli a honvédelmi alkalmazottal.</w:t>
      </w:r>
    </w:p>
    <w:p w:rsidR="0029103F" w:rsidRPr="008E6938" w:rsidRDefault="0029103F" w:rsidP="0029103F">
      <w:pPr>
        <w:spacing w:before="16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8E693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3. A Magyar Honvédség személyi állományába tartozó munkavállalókra vonatkozó rendkívüli intézkedések</w:t>
      </w:r>
    </w:p>
    <w:p w:rsidR="0029103F" w:rsidRPr="008E6938" w:rsidRDefault="0029103F" w:rsidP="0029103F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8E693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6. §</w:t>
      </w:r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A Magyar Honvédség személyi állományába tartozó munkavállalókra az 5. §</w:t>
      </w:r>
      <w:proofErr w:type="spellStart"/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-ban</w:t>
      </w:r>
      <w:proofErr w:type="spellEnd"/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foglaltak szerinti eltérő szabályokat megfelelően alkalmazni kell.</w:t>
      </w:r>
    </w:p>
    <w:p w:rsidR="0029103F" w:rsidRPr="008E6938" w:rsidRDefault="0029103F" w:rsidP="0029103F">
      <w:pPr>
        <w:spacing w:before="160" w:line="240" w:lineRule="auto"/>
        <w:ind w:firstLine="180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8E693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4. Záró rendelkezések</w:t>
      </w:r>
    </w:p>
    <w:p w:rsidR="0029103F" w:rsidRPr="008E6938" w:rsidRDefault="0029103F" w:rsidP="0029103F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8E693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7. §</w:t>
      </w:r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(1) Ez a rendelet – a (2) bekezdésben meghatározott kivétellel – a kihirdetését követő napon lép hatályba.</w:t>
      </w:r>
    </w:p>
    <w:p w:rsidR="0029103F" w:rsidRPr="008E6938" w:rsidRDefault="0029103F" w:rsidP="0029103F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(2) A 8. § az e rendelet kihirdetését követő tizenötödik napon lép hatályba.</w:t>
      </w:r>
    </w:p>
    <w:p w:rsidR="0029103F" w:rsidRPr="008E6938" w:rsidRDefault="0029103F" w:rsidP="0029103F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8E693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8. §</w:t>
      </w:r>
      <w:bookmarkStart w:id="1" w:name="foot_1_place"/>
      <w:r w:rsidRPr="008E6938">
        <w:rPr>
          <w:rFonts w:ascii="Times" w:eastAsia="Times New Roman" w:hAnsi="Times" w:cs="Times"/>
          <w:b/>
          <w:bCs/>
          <w:color w:val="000000"/>
          <w:sz w:val="24"/>
          <w:szCs w:val="24"/>
          <w:vertAlign w:val="superscript"/>
          <w:lang w:eastAsia="hu-HU"/>
        </w:rPr>
        <w:fldChar w:fldCharType="begin"/>
      </w:r>
      <w:r w:rsidRPr="008E6938">
        <w:rPr>
          <w:rFonts w:ascii="Times" w:eastAsia="Times New Roman" w:hAnsi="Times" w:cs="Times"/>
          <w:b/>
          <w:bCs/>
          <w:color w:val="000000"/>
          <w:sz w:val="24"/>
          <w:szCs w:val="24"/>
          <w:vertAlign w:val="superscript"/>
          <w:lang w:eastAsia="hu-HU"/>
        </w:rPr>
        <w:instrText xml:space="preserve"> HYPERLINK "http://njt.hu/cgi_bin/njt_doc.cgi?docid=219065.381876" \l "foot1" </w:instrText>
      </w:r>
      <w:r w:rsidRPr="008E6938">
        <w:rPr>
          <w:rFonts w:ascii="Times" w:eastAsia="Times New Roman" w:hAnsi="Times" w:cs="Times"/>
          <w:b/>
          <w:bCs/>
          <w:color w:val="000000"/>
          <w:sz w:val="24"/>
          <w:szCs w:val="24"/>
          <w:vertAlign w:val="superscript"/>
          <w:lang w:eastAsia="hu-HU"/>
        </w:rPr>
        <w:fldChar w:fldCharType="separate"/>
      </w:r>
      <w:r w:rsidRPr="008E6938">
        <w:rPr>
          <w:rFonts w:ascii="Times" w:eastAsia="Times New Roman" w:hAnsi="Times" w:cs="Times"/>
          <w:b/>
          <w:bCs/>
          <w:color w:val="0000FF"/>
          <w:sz w:val="24"/>
          <w:szCs w:val="24"/>
          <w:u w:val="single"/>
          <w:vertAlign w:val="superscript"/>
          <w:lang w:eastAsia="hu-HU"/>
        </w:rPr>
        <w:t>1</w:t>
      </w:r>
      <w:r w:rsidRPr="008E6938">
        <w:rPr>
          <w:rFonts w:ascii="Times" w:eastAsia="Times New Roman" w:hAnsi="Times" w:cs="Times"/>
          <w:b/>
          <w:bCs/>
          <w:color w:val="000000"/>
          <w:sz w:val="24"/>
          <w:szCs w:val="24"/>
          <w:vertAlign w:val="superscript"/>
          <w:lang w:eastAsia="hu-HU"/>
        </w:rPr>
        <w:fldChar w:fldCharType="end"/>
      </w:r>
      <w:bookmarkEnd w:id="1"/>
    </w:p>
    <w:p w:rsidR="0029103F" w:rsidRPr="008E6938" w:rsidRDefault="0029103F" w:rsidP="0029103F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pict>
          <v:rect id="_x0000_i1025" style="width:0;height:1.5pt" o:hralign="center" o:hrstd="t" o:hr="t" fillcolor="#a0a0a0" stroked="f"/>
        </w:pict>
      </w:r>
    </w:p>
    <w:bookmarkStart w:id="2" w:name="foot1"/>
    <w:p w:rsidR="0029103F" w:rsidRPr="008E6938" w:rsidRDefault="0029103F" w:rsidP="0029103F">
      <w:pPr>
        <w:pBdr>
          <w:left w:val="single" w:sz="36" w:space="3" w:color="FF0000"/>
        </w:pBd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fldChar w:fldCharType="begin"/>
      </w:r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instrText xml:space="preserve"> HYPERLINK "http://njt.hu/cgi_bin/njt_doc.cgi?docid=219065.381876" \l "foot_1_place" </w:instrText>
      </w:r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fldChar w:fldCharType="separate"/>
      </w:r>
      <w:r w:rsidRPr="008E6938">
        <w:rPr>
          <w:rFonts w:ascii="Times" w:eastAsia="Times New Roman" w:hAnsi="Times" w:cs="Times"/>
          <w:color w:val="0000FF"/>
          <w:sz w:val="24"/>
          <w:szCs w:val="24"/>
          <w:u w:val="single"/>
          <w:vertAlign w:val="superscript"/>
          <w:lang w:eastAsia="hu-HU"/>
        </w:rPr>
        <w:t>1</w:t>
      </w:r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fldChar w:fldCharType="end"/>
      </w:r>
      <w:bookmarkEnd w:id="2"/>
      <w:r w:rsidRPr="008E693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A 8. § a 7. § (2) bekezdése alapján 2020. május 1-jén lép hatályba.</w:t>
      </w:r>
    </w:p>
    <w:p w:rsidR="0029103F" w:rsidRDefault="0029103F" w:rsidP="0029103F"/>
    <w:p w:rsidR="0029103F" w:rsidRDefault="0029103F"/>
    <w:sectPr w:rsidR="00291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04"/>
    <w:rsid w:val="0029103F"/>
    <w:rsid w:val="00947F01"/>
    <w:rsid w:val="00D2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D957E-BDF1-40E9-949A-978B5D7A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10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Matyas</dc:creator>
  <cp:keywords/>
  <dc:description/>
  <cp:lastModifiedBy>Matyas</cp:lastModifiedBy>
  <cp:revision>2</cp:revision>
  <dcterms:created xsi:type="dcterms:W3CDTF">2020-04-18T07:54:00Z</dcterms:created>
  <dcterms:modified xsi:type="dcterms:W3CDTF">2020-04-18T07:56:00Z</dcterms:modified>
</cp:coreProperties>
</file>